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08" w:rsidRPr="004835D2" w:rsidRDefault="004835D2" w:rsidP="00FB0F08">
      <w:pPr>
        <w:spacing w:line="280" w:lineRule="atLeast"/>
        <w:ind w:firstLine="700"/>
        <w:jc w:val="center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noProof/>
          <w:sz w:val="28"/>
          <w:szCs w:val="28"/>
        </w:rPr>
        <w:drawing>
          <wp:inline distT="0" distB="0" distL="0" distR="0" wp14:anchorId="058FA784" wp14:editId="731A18CA">
            <wp:extent cx="2314575" cy="89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0F08" w:rsidRPr="004835D2" w:rsidRDefault="00FB0F08" w:rsidP="00FB0F08">
      <w:pPr>
        <w:spacing w:after="0" w:line="240" w:lineRule="auto"/>
        <w:ind w:firstLine="697"/>
        <w:jc w:val="center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>ОСМА КОНФЕРЕНЦИЈА ПАРЛАМЕНТАРНИХ ОДБОРА ЗА ЕВРОПСКЕ ИНТЕГРАЦИЈЕ/ПИТАЊА ЗЕМАЉА УЧЕСНИЦА У ПРОЦЕСУ СТАБИЛИЗАЦИЈЕ И ПРИДРУЖИВАЊА У ЈУГОИСТОЧНОЈ ЕВРОПИ</w:t>
      </w:r>
    </w:p>
    <w:p w:rsidR="00FB0F08" w:rsidRPr="004835D2" w:rsidRDefault="00FB0F08" w:rsidP="00FB0F08">
      <w:pPr>
        <w:spacing w:after="0" w:line="240" w:lineRule="auto"/>
        <w:ind w:firstLine="697"/>
        <w:jc w:val="center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>24-25. новембра у Скопљу</w:t>
      </w:r>
    </w:p>
    <w:p w:rsidR="00FB0F08" w:rsidRPr="004835D2" w:rsidRDefault="00FB0F08" w:rsidP="00FB0F08">
      <w:pPr>
        <w:spacing w:line="280" w:lineRule="atLeast"/>
        <w:ind w:firstLine="700"/>
        <w:jc w:val="center"/>
        <w:rPr>
          <w:rFonts w:ascii="Cambria" w:eastAsia="Times New Roman" w:hAnsi="Cambria" w:cs="Arial"/>
          <w:sz w:val="28"/>
          <w:szCs w:val="28"/>
        </w:rPr>
      </w:pPr>
    </w:p>
    <w:p w:rsidR="00FB0F08" w:rsidRPr="004835D2" w:rsidRDefault="00FB0F08" w:rsidP="00FB0F08">
      <w:pPr>
        <w:spacing w:line="280" w:lineRule="atLeast"/>
        <w:ind w:firstLine="700"/>
        <w:jc w:val="center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 xml:space="preserve">ЗАЈЕДНИЧКА ИЗЈАВА </w:t>
      </w:r>
    </w:p>
    <w:p w:rsidR="00FB0F08" w:rsidRPr="004835D2" w:rsidRDefault="00FB0F08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Осма конференција парламентарних одбора за европске интегр</w:t>
      </w:r>
      <w:r w:rsidR="00D32594" w:rsidRPr="004835D2">
        <w:rPr>
          <w:rFonts w:ascii="Cambria" w:eastAsia="Times New Roman" w:hAnsi="Cambria" w:cs="Arial"/>
          <w:sz w:val="28"/>
          <w:szCs w:val="28"/>
        </w:rPr>
        <w:t>ације/питања земаља учесница у П</w:t>
      </w:r>
      <w:r w:rsidRPr="004835D2">
        <w:rPr>
          <w:rFonts w:ascii="Cambria" w:eastAsia="Times New Roman" w:hAnsi="Cambria" w:cs="Arial"/>
          <w:sz w:val="28"/>
          <w:szCs w:val="28"/>
        </w:rPr>
        <w:t>роцесу стабилизације и придруживања у југоисточној Европи је организована у Скопљу на иницијативу Скупштине Републике Македоније.</w:t>
      </w:r>
      <w:proofErr w:type="gramEnd"/>
    </w:p>
    <w:p w:rsidR="00FB0F08" w:rsidRPr="004835D2" w:rsidRDefault="00FB0F08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На Конференцији су учествовали парламентарни одбори за европске интеграције/питања из Босне и Херцеговине, Црне Горе, Републике Македоније и Републике Србије.</w:t>
      </w:r>
      <w:proofErr w:type="gramEnd"/>
    </w:p>
    <w:p w:rsidR="00FB0F08" w:rsidRPr="004835D2" w:rsidRDefault="00FB0F08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Чланови одбора за европске интеграције Велике народне скупштине Републике Турске и Парламента Косова*</w:t>
      </w:r>
      <w:r w:rsidRPr="004835D2">
        <w:rPr>
          <w:rStyle w:val="FootnoteReference"/>
          <w:rFonts w:ascii="Cambria" w:eastAsia="Times New Roman" w:hAnsi="Cambria" w:cs="Arial"/>
          <w:sz w:val="28"/>
          <w:szCs w:val="28"/>
        </w:rPr>
        <w:footnoteReference w:id="1"/>
      </w:r>
      <w:r w:rsidRPr="004835D2">
        <w:rPr>
          <w:rFonts w:ascii="Cambria" w:eastAsia="Times New Roman" w:hAnsi="Cambria" w:cs="Arial"/>
          <w:sz w:val="28"/>
          <w:szCs w:val="28"/>
        </w:rPr>
        <w:t xml:space="preserve"> су учествовали на Конференцији као гости.</w:t>
      </w:r>
      <w:proofErr w:type="gram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</w:p>
    <w:p w:rsidR="00FB0F08" w:rsidRPr="004835D2" w:rsidRDefault="00FB0F08" w:rsidP="00FB0F08">
      <w:pPr>
        <w:spacing w:line="280" w:lineRule="atLeast"/>
        <w:ind w:firstLine="700"/>
        <w:jc w:val="both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 xml:space="preserve">У току редовне размене мишљења о питањима о Процесу стабилизације и придруживања, као и о процесу проширења Европске уније, учесници Осме конференције у Скопљу су:  </w:t>
      </w:r>
    </w:p>
    <w:p w:rsidR="00FB0F08" w:rsidRPr="004835D2" w:rsidRDefault="00FB0F08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Изр</w:t>
      </w:r>
      <w:r w:rsidR="00124922" w:rsidRPr="004835D2">
        <w:rPr>
          <w:rFonts w:ascii="Cambria" w:eastAsia="Times New Roman" w:hAnsi="Cambria" w:cs="Arial"/>
          <w:sz w:val="28"/>
          <w:szCs w:val="28"/>
        </w:rPr>
        <w:t>азили</w:t>
      </w:r>
      <w:proofErr w:type="spellEnd"/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124922" w:rsidRPr="004835D2">
        <w:rPr>
          <w:rFonts w:ascii="Cambria" w:eastAsia="Times New Roman" w:hAnsi="Cambria" w:cs="Arial"/>
          <w:sz w:val="28"/>
          <w:szCs w:val="28"/>
        </w:rPr>
        <w:t>општу</w:t>
      </w:r>
      <w:proofErr w:type="spellEnd"/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124922" w:rsidRPr="004835D2">
        <w:rPr>
          <w:rFonts w:ascii="Cambria" w:eastAsia="Times New Roman" w:hAnsi="Cambria" w:cs="Arial"/>
          <w:sz w:val="28"/>
          <w:szCs w:val="28"/>
        </w:rPr>
        <w:t>сагласност</w:t>
      </w:r>
      <w:proofErr w:type="spellEnd"/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="00124922" w:rsidRPr="004835D2">
        <w:rPr>
          <w:rFonts w:ascii="Cambria" w:eastAsia="Times New Roman" w:hAnsi="Cambria" w:cs="Arial"/>
          <w:sz w:val="28"/>
          <w:szCs w:val="28"/>
        </w:rPr>
        <w:t>вези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3402A9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са </w:t>
      </w:r>
      <w:proofErr w:type="spellStart"/>
      <w:r w:rsidR="00124922" w:rsidRPr="004835D2">
        <w:rPr>
          <w:rFonts w:ascii="Cambria" w:eastAsia="Times New Roman" w:hAnsi="Cambria" w:cs="Arial"/>
          <w:sz w:val="28"/>
          <w:szCs w:val="28"/>
        </w:rPr>
        <w:t>oцена</w:t>
      </w:r>
      <w:proofErr w:type="spellEnd"/>
      <w:r w:rsidR="003402A9" w:rsidRPr="004835D2">
        <w:rPr>
          <w:rFonts w:ascii="Cambria" w:eastAsia="Times New Roman" w:hAnsi="Cambria" w:cs="Arial"/>
          <w:sz w:val="28"/>
          <w:szCs w:val="28"/>
          <w:lang w:val="sr-Cyrl-CS"/>
        </w:rPr>
        <w:t>ма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садржане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Стратешком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документу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"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Стратегија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проширења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главни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изазови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2013-2014"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Европске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комисије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истакли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политику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проширења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као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дугорочног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стратешког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концепта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Европи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региону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дала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позитивне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резултате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;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поздравили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отворену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политику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ЕУ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упркос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финансијској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кризи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Унији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Ова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политика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даље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охрабрује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остваривање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постављених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критеријума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стандарда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чланство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ЕУ 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ља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ма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кандида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тима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земаља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ма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потенцијални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м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кандидат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има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FB0F08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Поново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се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осврнули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значај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остваривања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к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опенхашких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критеријума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су и даље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основ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процеса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приступањ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lastRenderedPageBreak/>
        <w:t>њихово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испуњење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треба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да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оста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не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једини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императив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Подвукли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билатерални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спорови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треба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блокирају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процес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придруживања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земаља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ЕУ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треба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реш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авају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кон</w:t>
      </w:r>
      <w:proofErr w:type="spellEnd"/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>с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труктивном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добросуседском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духу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FB0F08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Поздравили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нов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приступ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институција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ЕУ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погледу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политике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проширења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будући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преговарачки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оквир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где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приоритет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дат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питањима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из области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правосуђ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основн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их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права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као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r w:rsidR="00B97A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правд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е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унутрашњ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их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послов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FB0F08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Нагласили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значај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даљег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развоја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регионалне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сарадње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добросуседских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односа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;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нагласили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потребу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развојем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конструктивног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приступа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односима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суседима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другим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земљама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део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проширења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,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кроз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развој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билатералне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регионалне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сарадње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,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у погледу свих питања која се односе интеграцију држава кандидата и држава потенцијалних кандидата. Изразили посвећеност блиској и континуираној сарадњи у оквиру Процеса југоисточне Европе за сарадњу (SEECP), Саветa за регионалну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сарадњу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(RCC),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Централно-европског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споразума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о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слободној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трговини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(CEFTA),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Цетињског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парламентарног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форума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(CPF),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Централно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европске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иницијативе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(CEI),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Уговора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о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енергетској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заједници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(ECT) и Споразума о заједничком европском ваздушном простору; </w:t>
      </w:r>
    </w:p>
    <w:p w:rsidR="00FB0F08" w:rsidRPr="004835D2" w:rsidRDefault="00FB0F08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Подвукли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могуће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негативне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импликације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примене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недавно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усвојене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Резолуције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Европског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парламента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о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суспензији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без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в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изног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режима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због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могућности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gramStart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примене 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ново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>усвојеног</w:t>
      </w:r>
      <w:proofErr w:type="gram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механизма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ограничава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слободно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кретање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грађана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из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земаља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укључених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Процес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стабилизације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придруживања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у земље ЕУ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. Нагласили су да ова мера није у складу са </w:t>
      </w:r>
      <w:r w:rsidR="004835D2">
        <w:rPr>
          <w:rFonts w:ascii="Cambria" w:eastAsia="Times New Roman" w:hAnsi="Cambria" w:cs="Arial"/>
          <w:sz w:val="28"/>
          <w:szCs w:val="28"/>
          <w:lang w:val="sr-Cyrl-RS"/>
        </w:rPr>
        <w:t>развојем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европских интеграција ових земаља; </w:t>
      </w:r>
    </w:p>
    <w:p w:rsidR="00D66A32" w:rsidRPr="004835D2" w:rsidRDefault="00FB0F08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Подржали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нов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концепт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претпиступних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фондова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– ИПА 2 (2014-2020)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превазилази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разлике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између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земаља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>у зависности од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њихово</w:t>
      </w:r>
      <w:proofErr w:type="spellEnd"/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>г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C102B" w:rsidRPr="004835D2">
        <w:rPr>
          <w:rFonts w:ascii="Cambria" w:eastAsia="Times New Roman" w:hAnsi="Cambria" w:cs="Arial"/>
          <w:sz w:val="28"/>
          <w:szCs w:val="28"/>
        </w:rPr>
        <w:t>кандидатско</w:t>
      </w:r>
      <w:proofErr w:type="spellEnd"/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г </w:t>
      </w:r>
      <w:proofErr w:type="spellStart"/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статус</w:t>
      </w:r>
      <w:proofErr w:type="spellEnd"/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3C102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који</w:t>
      </w:r>
      <w:proofErr w:type="spellEnd"/>
      <w:proofErr w:type="gram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омогућава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појединим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земљама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имају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приступ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фондоваима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нарочито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оним</w:t>
      </w:r>
      <w:proofErr w:type="spellEnd"/>
      <w:r w:rsidR="002618C6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фондовима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друштвено-еконосмки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развој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. Имајући у виду да се европски фондови дeлимично користе у оквирима ИПА 1 (2007-2013).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Истовремено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указали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потребу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бољег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коришћења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прет</w:t>
      </w:r>
      <w:proofErr w:type="spellEnd"/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>п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риступних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фондова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ИПА 2 кроз 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јачање административних капацитета, побољшање програмирања и припреме пројеката, као и укљученост и сарадњу међу свим релеванстним чиниоцима.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Подвукли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>бољи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приступ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</w:t>
      </w:r>
      <w:r w:rsidR="003C102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коришћење ових европских фондова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>, ЕУ треба да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размотри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lastRenderedPageBreak/>
        <w:t>поједностави</w:t>
      </w:r>
      <w:proofErr w:type="spellEnd"/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административне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процедуре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као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трошкове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ИПА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финансирања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D66A32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 xml:space="preserve">Истакли да је у интересу свих држава у региону да предузму свеобухватне промене и реформе на националним, регионалном и глобалном нивоу, за превазилажење глобалне економске и финансијске кризе.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Узимајући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обзир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општу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повезаност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међузависност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постоји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потреба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општ</w:t>
      </w:r>
      <w:proofErr w:type="spellEnd"/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>и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м а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индивидуалн</w:t>
      </w:r>
      <w:proofErr w:type="spellEnd"/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>и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м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</w:t>
      </w:r>
      <w:proofErr w:type="spellEnd"/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>шавањем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економских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енергетских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климатских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изазова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уз 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C04C67" w:rsidRPr="004835D2">
        <w:rPr>
          <w:rFonts w:ascii="Cambria" w:eastAsia="Times New Roman" w:hAnsi="Cambria" w:cs="Arial"/>
          <w:sz w:val="28"/>
          <w:szCs w:val="28"/>
        </w:rPr>
        <w:t>допринос</w:t>
      </w:r>
      <w:proofErr w:type="spellEnd"/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 свих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</w:t>
      </w:r>
      <w:proofErr w:type="spellEnd"/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r w:rsidRPr="004835D2">
        <w:rPr>
          <w:rFonts w:ascii="Cambria" w:eastAsia="Times New Roman" w:hAnsi="Cambria" w:cs="Arial"/>
          <w:sz w:val="28"/>
          <w:szCs w:val="28"/>
        </w:rPr>
        <w:t>љ</w:t>
      </w:r>
      <w:r w:rsidR="00C04C67"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r w:rsidR="00C04C67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C04C67" w:rsidRPr="004835D2">
        <w:rPr>
          <w:rFonts w:ascii="Cambria" w:eastAsia="Times New Roman" w:hAnsi="Cambria" w:cs="Arial"/>
          <w:sz w:val="28"/>
          <w:szCs w:val="28"/>
        </w:rPr>
        <w:t>региона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D66A32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Указале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потребу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интензивније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регионалне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размене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инвестирања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>повећање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транспарентности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кретања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робе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капитала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, услуга и људи у региону,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имајући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виду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одредбе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CEFTA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велики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потенцијал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овај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Споразум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и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>м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а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земље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региона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Указале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чињеницу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недоследна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примена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одредби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Споразума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доводи до нежељених последица у трговниским односима између држава; </w:t>
      </w:r>
    </w:p>
    <w:p w:rsidR="00FB0F08" w:rsidRPr="004835D2" w:rsidRDefault="00C2519B" w:rsidP="00FB0F08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  <w:lang w:val="sr-Cyrl-CS"/>
        </w:rPr>
        <w:t>Се о</w:t>
      </w:r>
      <w:r w:rsidR="005659FB">
        <w:rPr>
          <w:rFonts w:ascii="Cambria" w:eastAsia="Times New Roman" w:hAnsi="Cambria" w:cs="Arial"/>
          <w:sz w:val="28"/>
          <w:szCs w:val="28"/>
          <w:lang w:val="sr-Cyrl-RS"/>
        </w:rPr>
        <w:t>б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авезале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на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даљу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либерализацију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трговине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пољопривредних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производа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услуга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елиминацију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непотребних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техничких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баријера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трговини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олакшавање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трговине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укључивањем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транспарентних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механизама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поједностављење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трговинске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про</w:t>
      </w:r>
      <w:proofErr w:type="spellEnd"/>
      <w:r w:rsidRPr="004835D2">
        <w:rPr>
          <w:rFonts w:ascii="Cambria" w:eastAsia="Times New Roman" w:hAnsi="Cambria" w:cs="Arial"/>
          <w:sz w:val="28"/>
          <w:szCs w:val="28"/>
          <w:lang w:val="sr-Cyrl-CS"/>
        </w:rPr>
        <w:t>ц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едуре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оквиру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124922" w:rsidRPr="004835D2">
        <w:rPr>
          <w:rFonts w:ascii="Cambria" w:eastAsia="Times New Roman" w:hAnsi="Cambria" w:cs="Arial"/>
          <w:sz w:val="28"/>
          <w:szCs w:val="28"/>
        </w:rPr>
        <w:t>CEFTA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као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промовисање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регионалне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сарадње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следећим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областима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: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политика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конкуренције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прав</w:t>
      </w:r>
      <w:proofErr w:type="spellEnd"/>
      <w:r w:rsidRPr="004835D2">
        <w:rPr>
          <w:rFonts w:ascii="Cambria" w:eastAsia="Times New Roman" w:hAnsi="Cambria" w:cs="Arial"/>
          <w:sz w:val="28"/>
          <w:szCs w:val="28"/>
          <w:lang w:val="sr-Cyrl-CS"/>
        </w:rPr>
        <w:t>а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интелектуалне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својине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јавних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набавки</w:t>
      </w:r>
      <w:proofErr w:type="spellEnd"/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конкурентно</w:t>
      </w:r>
      <w:proofErr w:type="spellEnd"/>
      <w:r w:rsidRPr="004835D2">
        <w:rPr>
          <w:rFonts w:ascii="Cambria" w:eastAsia="Times New Roman" w:hAnsi="Cambria" w:cs="Arial"/>
          <w:sz w:val="28"/>
          <w:szCs w:val="28"/>
          <w:lang w:val="sr-Cyrl-CS"/>
        </w:rPr>
        <w:t>м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привредно</w:t>
      </w:r>
      <w:proofErr w:type="spellEnd"/>
      <w:r w:rsidRPr="004835D2">
        <w:rPr>
          <w:rFonts w:ascii="Cambria" w:eastAsia="Times New Roman" w:hAnsi="Cambria" w:cs="Arial"/>
          <w:sz w:val="28"/>
          <w:szCs w:val="28"/>
          <w:lang w:val="sr-Cyrl-CS"/>
        </w:rPr>
        <w:t>м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D66A32" w:rsidRPr="004835D2">
        <w:rPr>
          <w:rFonts w:ascii="Cambria" w:eastAsia="Times New Roman" w:hAnsi="Cambria" w:cs="Arial"/>
          <w:sz w:val="28"/>
          <w:szCs w:val="28"/>
        </w:rPr>
        <w:t>окружењ</w:t>
      </w:r>
      <w:proofErr w:type="spellEnd"/>
      <w:r w:rsidRPr="004835D2">
        <w:rPr>
          <w:rFonts w:ascii="Cambria" w:eastAsia="Times New Roman" w:hAnsi="Cambria" w:cs="Arial"/>
          <w:sz w:val="28"/>
          <w:szCs w:val="28"/>
          <w:lang w:val="sr-Cyrl-CS"/>
        </w:rPr>
        <w:t>у</w:t>
      </w:r>
      <w:r w:rsidR="00D66A32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3168FE" w:rsidRPr="004835D2" w:rsidRDefault="003168FE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>Поздравили одлуку представника земаља учесница Процеса сарадње и придруживања (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SEEPC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) на 10. Конференцији председавајућих 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SEEPC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за сагласност да Парламентарна димензија 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SEEPC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постане Парламентарна скупштина </w:t>
      </w:r>
      <w:r w:rsidR="00124922" w:rsidRPr="004835D2">
        <w:rPr>
          <w:rFonts w:ascii="Cambria" w:eastAsia="Times New Roman" w:hAnsi="Cambria" w:cs="Arial"/>
          <w:sz w:val="28"/>
          <w:szCs w:val="28"/>
        </w:rPr>
        <w:t>SEECP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као водећи парламентарни форум за размену искустава, дијалога и сарадње у областима за које постоји посебно интересовање од стране земаља у ЈИЕ и њихових грађана који ће деловати у синергији са регионалним и међународним партнерима; </w:t>
      </w:r>
    </w:p>
    <w:p w:rsidR="003168FE" w:rsidRPr="004835D2" w:rsidRDefault="003168FE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 xml:space="preserve">Честитали Републици Хрватској 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>на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>приступању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ЕУ 1. </w:t>
      </w:r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јула</w:t>
      </w:r>
      <w:proofErr w:type="gramEnd"/>
      <w:r w:rsidRPr="004835D2">
        <w:rPr>
          <w:rFonts w:ascii="Cambria" w:eastAsia="Times New Roman" w:hAnsi="Cambria" w:cs="Arial"/>
          <w:sz w:val="28"/>
          <w:szCs w:val="28"/>
        </w:rPr>
        <w:t xml:space="preserve"> 2013. </w:t>
      </w:r>
      <w:proofErr w:type="spellStart"/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године</w:t>
      </w:r>
      <w:proofErr w:type="spellEnd"/>
      <w:proofErr w:type="gramEnd"/>
      <w:r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нагласиле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она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представља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успешан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пример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земље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из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региона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која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је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успешно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завршила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неопходне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ЕУ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реформе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.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Пример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Републике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Хрватске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представља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мотив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све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з</w:t>
      </w:r>
      <w:r w:rsidR="00C2519B" w:rsidRPr="004835D2">
        <w:rPr>
          <w:rFonts w:ascii="Cambria" w:eastAsia="Times New Roman" w:hAnsi="Cambria" w:cs="Arial"/>
          <w:sz w:val="28"/>
          <w:szCs w:val="28"/>
        </w:rPr>
        <w:t>емље</w:t>
      </w:r>
      <w:proofErr w:type="spellEnd"/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C2519B" w:rsidRPr="004835D2">
        <w:rPr>
          <w:rFonts w:ascii="Cambria" w:eastAsia="Times New Roman" w:hAnsi="Cambria" w:cs="Arial"/>
          <w:sz w:val="28"/>
          <w:szCs w:val="28"/>
        </w:rPr>
        <w:t>региона</w:t>
      </w:r>
      <w:proofErr w:type="spellEnd"/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C2519B" w:rsidRPr="004835D2">
        <w:rPr>
          <w:rFonts w:ascii="Cambria" w:eastAsia="Times New Roman" w:hAnsi="Cambria" w:cs="Arial"/>
          <w:sz w:val="28"/>
          <w:szCs w:val="28"/>
        </w:rPr>
        <w:t>да</w:t>
      </w:r>
      <w:proofErr w:type="spellEnd"/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C2519B" w:rsidRPr="004835D2">
        <w:rPr>
          <w:rFonts w:ascii="Cambria" w:eastAsia="Times New Roman" w:hAnsi="Cambria" w:cs="Arial"/>
          <w:sz w:val="28"/>
          <w:szCs w:val="28"/>
        </w:rPr>
        <w:t>буду</w:t>
      </w:r>
      <w:proofErr w:type="spellEnd"/>
      <w:r w:rsidR="00C2519B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C2519B" w:rsidRPr="004835D2">
        <w:rPr>
          <w:rFonts w:ascii="Cambria" w:eastAsia="Times New Roman" w:hAnsi="Cambria" w:cs="Arial"/>
          <w:sz w:val="28"/>
          <w:szCs w:val="28"/>
        </w:rPr>
        <w:t>посвећене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испуњ</w:t>
      </w:r>
      <w:proofErr w:type="spellEnd"/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>авању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Pr="004835D2">
        <w:rPr>
          <w:rFonts w:ascii="Cambria" w:eastAsia="Times New Roman" w:hAnsi="Cambria" w:cs="Arial"/>
          <w:sz w:val="28"/>
          <w:szCs w:val="28"/>
        </w:rPr>
        <w:t>критеријума</w:t>
      </w:r>
      <w:proofErr w:type="spellEnd"/>
      <w:r w:rsidRPr="004835D2">
        <w:rPr>
          <w:rFonts w:ascii="Cambria" w:eastAsia="Times New Roman" w:hAnsi="Cambria" w:cs="Arial"/>
          <w:sz w:val="28"/>
          <w:szCs w:val="28"/>
        </w:rPr>
        <w:t xml:space="preserve"> ЕУ; </w:t>
      </w:r>
    </w:p>
    <w:p w:rsidR="00FB0F08" w:rsidRPr="004835D2" w:rsidRDefault="00124922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lastRenderedPageBreak/>
        <w:t>Изразили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захвалност домаћину – Скупштини Републике Македоније на организацији 8.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Конференције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парламентарних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одбора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за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европске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интеграције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>/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питања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држава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укључених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Процес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стабилизације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придруживања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у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југоисточној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Европи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и </w:t>
      </w:r>
      <w:r w:rsidR="00C2519B" w:rsidRPr="004835D2">
        <w:rPr>
          <w:rFonts w:ascii="Cambria" w:eastAsia="Times New Roman" w:hAnsi="Cambria" w:cs="Arial"/>
          <w:sz w:val="28"/>
          <w:szCs w:val="28"/>
          <w:lang w:val="sr-Cyrl-CS"/>
        </w:rPr>
        <w:t>на</w:t>
      </w:r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r w:rsidR="00740893" w:rsidRPr="004835D2">
        <w:rPr>
          <w:rFonts w:ascii="Cambria" w:eastAsia="Times New Roman" w:hAnsi="Cambria" w:cs="Arial"/>
          <w:sz w:val="28"/>
          <w:szCs w:val="28"/>
          <w:lang w:val="sr-Cyrl-CS"/>
        </w:rPr>
        <w:t xml:space="preserve">учешћу у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раду</w:t>
      </w:r>
      <w:proofErr w:type="spellEnd"/>
      <w:r w:rsidR="003168FE"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spellStart"/>
      <w:r w:rsidR="003168FE" w:rsidRPr="004835D2">
        <w:rPr>
          <w:rFonts w:ascii="Cambria" w:eastAsia="Times New Roman" w:hAnsi="Cambria" w:cs="Arial"/>
          <w:sz w:val="28"/>
          <w:szCs w:val="28"/>
        </w:rPr>
        <w:t>Конференције</w:t>
      </w:r>
      <w:proofErr w:type="spellEnd"/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; </w:t>
      </w:r>
    </w:p>
    <w:p w:rsidR="00FB0F08" w:rsidRPr="004835D2" w:rsidRDefault="003168FE" w:rsidP="00FB0F08">
      <w:pPr>
        <w:pStyle w:val="ListParagraph"/>
        <w:numPr>
          <w:ilvl w:val="0"/>
          <w:numId w:val="1"/>
        </w:numPr>
        <w:spacing w:line="280" w:lineRule="atLeast"/>
        <w:ind w:hanging="502"/>
        <w:jc w:val="both"/>
        <w:rPr>
          <w:rFonts w:ascii="Cambria" w:eastAsia="Times New Roman" w:hAnsi="Cambria" w:cs="Arial"/>
          <w:sz w:val="28"/>
          <w:szCs w:val="28"/>
        </w:rPr>
      </w:pPr>
      <w:r w:rsidRPr="004835D2">
        <w:rPr>
          <w:rFonts w:ascii="Cambria" w:eastAsia="Times New Roman" w:hAnsi="Cambria" w:cs="Arial"/>
          <w:sz w:val="28"/>
          <w:szCs w:val="28"/>
        </w:rPr>
        <w:t xml:space="preserve">Државе учеснице Процеса стабилизације и придруживања су изразиле спремност за наставак заједничке сарадње и </w:t>
      </w:r>
      <w:r w:rsidR="00124922" w:rsidRPr="004835D2">
        <w:rPr>
          <w:rFonts w:ascii="Cambria" w:eastAsia="Times New Roman" w:hAnsi="Cambria" w:cs="Arial"/>
          <w:sz w:val="28"/>
          <w:szCs w:val="28"/>
        </w:rPr>
        <w:t xml:space="preserve">дале су 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пуну подршку </w:t>
      </w:r>
      <w:r w:rsidR="00124922" w:rsidRPr="004835D2">
        <w:rPr>
          <w:rFonts w:ascii="Cambria" w:eastAsia="Times New Roman" w:hAnsi="Cambria" w:cs="Arial"/>
          <w:sz w:val="28"/>
          <w:szCs w:val="28"/>
        </w:rPr>
        <w:t>следећој КОСАП конференцији</w:t>
      </w:r>
      <w:r w:rsidRPr="004835D2">
        <w:rPr>
          <w:rFonts w:ascii="Cambria" w:eastAsia="Times New Roman" w:hAnsi="Cambria" w:cs="Arial"/>
          <w:sz w:val="28"/>
          <w:szCs w:val="28"/>
        </w:rPr>
        <w:t xml:space="preserve"> којом ће председавати Скупштина Црне Горе. </w:t>
      </w:r>
    </w:p>
    <w:p w:rsidR="00FB0F08" w:rsidRPr="004835D2" w:rsidRDefault="00FB0F08" w:rsidP="00FB0F08">
      <w:pPr>
        <w:spacing w:line="280" w:lineRule="atLeast"/>
        <w:ind w:left="700"/>
        <w:jc w:val="both"/>
        <w:rPr>
          <w:rFonts w:ascii="Cambria" w:eastAsia="Times New Roman" w:hAnsi="Cambria" w:cs="Arial"/>
          <w:sz w:val="28"/>
          <w:szCs w:val="28"/>
        </w:rPr>
      </w:pPr>
    </w:p>
    <w:p w:rsidR="00FB0F08" w:rsidRPr="004835D2" w:rsidRDefault="003168FE" w:rsidP="00147043">
      <w:pPr>
        <w:spacing w:line="280" w:lineRule="atLeast"/>
        <w:ind w:left="700"/>
        <w:jc w:val="right"/>
        <w:rPr>
          <w:rFonts w:ascii="Cambria" w:eastAsia="Times New Roman" w:hAnsi="Cambria" w:cs="Arial"/>
          <w:sz w:val="28"/>
          <w:szCs w:val="28"/>
        </w:rPr>
      </w:pPr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Скопље</w:t>
      </w:r>
      <w:r w:rsidR="00FB0F08" w:rsidRPr="004835D2">
        <w:rPr>
          <w:rFonts w:ascii="Cambria" w:eastAsia="Times New Roman" w:hAnsi="Cambria" w:cs="Arial"/>
          <w:sz w:val="28"/>
          <w:szCs w:val="28"/>
        </w:rPr>
        <w:t xml:space="preserve">, </w:t>
      </w:r>
      <w:r w:rsidRPr="004835D2">
        <w:rPr>
          <w:rFonts w:ascii="Cambria" w:eastAsia="Times New Roman" w:hAnsi="Cambria" w:cs="Arial"/>
          <w:sz w:val="28"/>
          <w:szCs w:val="28"/>
        </w:rPr>
        <w:t>25.</w:t>
      </w:r>
      <w:proofErr w:type="gramEnd"/>
      <w:r w:rsidRPr="004835D2">
        <w:rPr>
          <w:rFonts w:ascii="Cambria" w:eastAsia="Times New Roman" w:hAnsi="Cambria" w:cs="Arial"/>
          <w:sz w:val="28"/>
          <w:szCs w:val="28"/>
        </w:rPr>
        <w:t xml:space="preserve"> </w:t>
      </w:r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новембар</w:t>
      </w:r>
      <w:proofErr w:type="gramEnd"/>
      <w:r w:rsidRPr="004835D2">
        <w:rPr>
          <w:rFonts w:ascii="Cambria" w:eastAsia="Times New Roman" w:hAnsi="Cambria" w:cs="Arial"/>
          <w:sz w:val="28"/>
          <w:szCs w:val="28"/>
        </w:rPr>
        <w:t xml:space="preserve"> 2013. </w:t>
      </w:r>
      <w:proofErr w:type="gramStart"/>
      <w:r w:rsidRPr="004835D2">
        <w:rPr>
          <w:rFonts w:ascii="Cambria" w:eastAsia="Times New Roman" w:hAnsi="Cambria" w:cs="Arial"/>
          <w:sz w:val="28"/>
          <w:szCs w:val="28"/>
        </w:rPr>
        <w:t>године</w:t>
      </w:r>
      <w:bookmarkStart w:id="0" w:name="_GoBack"/>
      <w:bookmarkEnd w:id="0"/>
      <w:proofErr w:type="gramEnd"/>
    </w:p>
    <w:sectPr w:rsidR="00FB0F08" w:rsidRPr="004835D2" w:rsidSect="007D000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E0" w:rsidRDefault="004D45E0" w:rsidP="00FB0F08">
      <w:pPr>
        <w:spacing w:after="0" w:line="240" w:lineRule="auto"/>
      </w:pPr>
      <w:r>
        <w:separator/>
      </w:r>
    </w:p>
  </w:endnote>
  <w:endnote w:type="continuationSeparator" w:id="0">
    <w:p w:rsidR="004D45E0" w:rsidRDefault="004D45E0" w:rsidP="00FB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E0" w:rsidRDefault="004D45E0" w:rsidP="00FB0F08">
      <w:pPr>
        <w:spacing w:after="0" w:line="240" w:lineRule="auto"/>
      </w:pPr>
      <w:r>
        <w:separator/>
      </w:r>
    </w:p>
  </w:footnote>
  <w:footnote w:type="continuationSeparator" w:id="0">
    <w:p w:rsidR="004D45E0" w:rsidRDefault="004D45E0" w:rsidP="00FB0F08">
      <w:pPr>
        <w:spacing w:after="0" w:line="240" w:lineRule="auto"/>
      </w:pPr>
      <w:r>
        <w:continuationSeparator/>
      </w:r>
    </w:p>
  </w:footnote>
  <w:footnote w:id="1">
    <w:p w:rsidR="00FB0F08" w:rsidRDefault="00FB0F08" w:rsidP="00FB0F08">
      <w:pPr>
        <w:pStyle w:val="FootnoteText"/>
      </w:pPr>
      <w:r>
        <w:rPr>
          <w:rStyle w:val="FootnoteReference"/>
        </w:rPr>
        <w:footnoteRef/>
      </w:r>
      <w:r>
        <w:t xml:space="preserve"> Ова ознака не прејудицира ставове о статусу те је у складу са Резолуцијом Уједињених нација 1244 и мишљењем Међународног суда правде о Декларацији о независности Косова.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56819"/>
    <w:multiLevelType w:val="hybridMultilevel"/>
    <w:tmpl w:val="CD2E0992"/>
    <w:lvl w:ilvl="0" w:tplc="986AB9BA">
      <w:start w:val="1"/>
      <w:numFmt w:val="decimal"/>
      <w:lvlText w:val="%1."/>
      <w:lvlJc w:val="left"/>
      <w:pPr>
        <w:ind w:left="786" w:hanging="360"/>
      </w:pPr>
    </w:lvl>
    <w:lvl w:ilvl="1" w:tplc="042F0019">
      <w:start w:val="1"/>
      <w:numFmt w:val="lowerLetter"/>
      <w:lvlText w:val="%2."/>
      <w:lvlJc w:val="left"/>
      <w:pPr>
        <w:ind w:left="1780" w:hanging="360"/>
      </w:pPr>
    </w:lvl>
    <w:lvl w:ilvl="2" w:tplc="042F001B">
      <w:start w:val="1"/>
      <w:numFmt w:val="lowerRoman"/>
      <w:lvlText w:val="%3."/>
      <w:lvlJc w:val="right"/>
      <w:pPr>
        <w:ind w:left="2500" w:hanging="180"/>
      </w:pPr>
    </w:lvl>
    <w:lvl w:ilvl="3" w:tplc="042F000F">
      <w:start w:val="1"/>
      <w:numFmt w:val="decimal"/>
      <w:lvlText w:val="%4."/>
      <w:lvlJc w:val="left"/>
      <w:pPr>
        <w:ind w:left="3220" w:hanging="360"/>
      </w:pPr>
    </w:lvl>
    <w:lvl w:ilvl="4" w:tplc="042F0019">
      <w:start w:val="1"/>
      <w:numFmt w:val="lowerLetter"/>
      <w:lvlText w:val="%5."/>
      <w:lvlJc w:val="left"/>
      <w:pPr>
        <w:ind w:left="3940" w:hanging="360"/>
      </w:pPr>
    </w:lvl>
    <w:lvl w:ilvl="5" w:tplc="042F001B">
      <w:start w:val="1"/>
      <w:numFmt w:val="lowerRoman"/>
      <w:lvlText w:val="%6."/>
      <w:lvlJc w:val="right"/>
      <w:pPr>
        <w:ind w:left="4660" w:hanging="180"/>
      </w:pPr>
    </w:lvl>
    <w:lvl w:ilvl="6" w:tplc="042F000F">
      <w:start w:val="1"/>
      <w:numFmt w:val="decimal"/>
      <w:lvlText w:val="%7."/>
      <w:lvlJc w:val="left"/>
      <w:pPr>
        <w:ind w:left="5380" w:hanging="360"/>
      </w:pPr>
    </w:lvl>
    <w:lvl w:ilvl="7" w:tplc="042F0019">
      <w:start w:val="1"/>
      <w:numFmt w:val="lowerLetter"/>
      <w:lvlText w:val="%8."/>
      <w:lvlJc w:val="left"/>
      <w:pPr>
        <w:ind w:left="6100" w:hanging="360"/>
      </w:pPr>
    </w:lvl>
    <w:lvl w:ilvl="8" w:tplc="042F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08"/>
    <w:rsid w:val="0010389A"/>
    <w:rsid w:val="00124922"/>
    <w:rsid w:val="00147043"/>
    <w:rsid w:val="001F12D9"/>
    <w:rsid w:val="002618C6"/>
    <w:rsid w:val="003168FE"/>
    <w:rsid w:val="003402A9"/>
    <w:rsid w:val="003C102B"/>
    <w:rsid w:val="0047740A"/>
    <w:rsid w:val="004835D2"/>
    <w:rsid w:val="004D45E0"/>
    <w:rsid w:val="004E7CA9"/>
    <w:rsid w:val="005659FB"/>
    <w:rsid w:val="00656CCA"/>
    <w:rsid w:val="006747D1"/>
    <w:rsid w:val="006B0E46"/>
    <w:rsid w:val="00740893"/>
    <w:rsid w:val="007B5F29"/>
    <w:rsid w:val="007D0002"/>
    <w:rsid w:val="00B97A93"/>
    <w:rsid w:val="00C04C67"/>
    <w:rsid w:val="00C2519B"/>
    <w:rsid w:val="00C81CCA"/>
    <w:rsid w:val="00D32594"/>
    <w:rsid w:val="00D66A32"/>
    <w:rsid w:val="00F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0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B0F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F0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B0F08"/>
    <w:pPr>
      <w:ind w:left="720"/>
    </w:pPr>
  </w:style>
  <w:style w:type="character" w:styleId="FootnoteReference">
    <w:name w:val="footnote reference"/>
    <w:basedOn w:val="DefaultParagraphFont"/>
    <w:semiHidden/>
    <w:unhideWhenUsed/>
    <w:rsid w:val="00FB0F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08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FB0F08"/>
  </w:style>
  <w:style w:type="character" w:customStyle="1" w:styleId="atn">
    <w:name w:val="atn"/>
    <w:basedOn w:val="DefaultParagraphFont"/>
    <w:rsid w:val="00FB0F08"/>
  </w:style>
  <w:style w:type="character" w:styleId="CommentReference">
    <w:name w:val="annotation reference"/>
    <w:basedOn w:val="DefaultParagraphFont"/>
    <w:uiPriority w:val="99"/>
    <w:semiHidden/>
    <w:unhideWhenUsed/>
    <w:rsid w:val="00340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2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A9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08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B0F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0F0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B0F08"/>
    <w:pPr>
      <w:ind w:left="720"/>
    </w:pPr>
  </w:style>
  <w:style w:type="character" w:styleId="FootnoteReference">
    <w:name w:val="footnote reference"/>
    <w:basedOn w:val="DefaultParagraphFont"/>
    <w:semiHidden/>
    <w:unhideWhenUsed/>
    <w:rsid w:val="00FB0F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F08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efaultParagraphFont"/>
    <w:rsid w:val="00FB0F08"/>
  </w:style>
  <w:style w:type="character" w:customStyle="1" w:styleId="atn">
    <w:name w:val="atn"/>
    <w:basedOn w:val="DefaultParagraphFont"/>
    <w:rsid w:val="00FB0F08"/>
  </w:style>
  <w:style w:type="character" w:styleId="CommentReference">
    <w:name w:val="annotation reference"/>
    <w:basedOn w:val="DefaultParagraphFont"/>
    <w:uiPriority w:val="99"/>
    <w:semiHidden/>
    <w:unhideWhenUsed/>
    <w:rsid w:val="00340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2A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A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1D9BC-B8B3-4953-95CB-D370C256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Olgica</cp:lastModifiedBy>
  <cp:revision>4</cp:revision>
  <dcterms:created xsi:type="dcterms:W3CDTF">2013-11-27T08:11:00Z</dcterms:created>
  <dcterms:modified xsi:type="dcterms:W3CDTF">2013-11-27T08:37:00Z</dcterms:modified>
</cp:coreProperties>
</file>